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38FF" w14:textId="02667F82" w:rsidR="00E35158" w:rsidRPr="002331C2" w:rsidRDefault="00E35158" w:rsidP="00607867">
      <w:pPr>
        <w:spacing w:after="0" w:line="240" w:lineRule="auto"/>
        <w:jc w:val="center"/>
        <w:outlineLvl w:val="0"/>
        <w:rPr>
          <w:rFonts w:ascii="Sitka Heading" w:eastAsia="Times New Roman" w:hAnsi="Sitka Heading" w:cs="Times New Roman"/>
          <w:b/>
          <w:bCs/>
          <w:kern w:val="36"/>
          <w:sz w:val="36"/>
          <w:szCs w:val="36"/>
        </w:rPr>
      </w:pPr>
      <w:r w:rsidRPr="002331C2">
        <w:rPr>
          <w:rFonts w:ascii="Sitka Heading" w:eastAsia="Times New Roman" w:hAnsi="Sitka Heading" w:cs="Times New Roman"/>
          <w:b/>
          <w:bCs/>
          <w:kern w:val="36"/>
          <w:sz w:val="36"/>
          <w:szCs w:val="36"/>
        </w:rPr>
        <w:t>Islam and Sundanese Culture:</w:t>
      </w:r>
      <w:r w:rsidR="00C54D7E" w:rsidRPr="002331C2">
        <w:rPr>
          <w:rStyle w:val="FootnoteReference"/>
          <w:rFonts w:ascii="Sitka Heading" w:eastAsia="Times New Roman" w:hAnsi="Sitka Heading" w:cs="Times New Roman"/>
          <w:kern w:val="36"/>
          <w:sz w:val="36"/>
          <w:szCs w:val="36"/>
        </w:rPr>
        <w:footnoteReference w:id="1"/>
      </w:r>
    </w:p>
    <w:p w14:paraId="4E5EF01A" w14:textId="4ECAB4CF" w:rsidR="00C54D7E" w:rsidRPr="002331C2" w:rsidRDefault="00E35158" w:rsidP="00607867">
      <w:pPr>
        <w:spacing w:after="0" w:line="240" w:lineRule="auto"/>
        <w:jc w:val="center"/>
        <w:outlineLvl w:val="1"/>
        <w:rPr>
          <w:rFonts w:ascii="Sitka Heading" w:eastAsia="Times New Roman" w:hAnsi="Sitka Heading" w:cs="Times New Roman"/>
          <w:sz w:val="26"/>
          <w:szCs w:val="26"/>
        </w:rPr>
      </w:pPr>
      <w:r w:rsidRPr="002331C2">
        <w:rPr>
          <w:rFonts w:ascii="Sitka Heading" w:eastAsia="Times New Roman" w:hAnsi="Sitka Heading" w:cs="Times New Roman"/>
          <w:sz w:val="26"/>
          <w:szCs w:val="26"/>
        </w:rPr>
        <w:t>Understanding the Historical Development, Cultural Integration,</w:t>
      </w:r>
    </w:p>
    <w:p w14:paraId="04BF3FDE" w14:textId="3ACFBBA8" w:rsidR="00E35158" w:rsidRPr="002331C2" w:rsidRDefault="00E35158" w:rsidP="00607867">
      <w:pPr>
        <w:spacing w:after="0" w:line="240" w:lineRule="auto"/>
        <w:jc w:val="center"/>
        <w:outlineLvl w:val="1"/>
        <w:rPr>
          <w:rFonts w:ascii="Sitka Heading" w:eastAsia="Times New Roman" w:hAnsi="Sitka Heading" w:cs="Times New Roman"/>
          <w:sz w:val="26"/>
          <w:szCs w:val="26"/>
        </w:rPr>
      </w:pPr>
      <w:r w:rsidRPr="002331C2">
        <w:rPr>
          <w:rFonts w:ascii="Sitka Heading" w:eastAsia="Times New Roman" w:hAnsi="Sitka Heading" w:cs="Times New Roman"/>
          <w:sz w:val="26"/>
          <w:szCs w:val="26"/>
        </w:rPr>
        <w:t>and Contemporary Expressions of Islam in West Java</w:t>
      </w:r>
    </w:p>
    <w:p w14:paraId="24FB060B" w14:textId="4DCD8C7F" w:rsidR="00463049" w:rsidRPr="002331C2" w:rsidRDefault="00463049" w:rsidP="00607867">
      <w:pPr>
        <w:spacing w:after="0" w:line="240" w:lineRule="auto"/>
        <w:jc w:val="center"/>
        <w:outlineLvl w:val="1"/>
        <w:rPr>
          <w:rFonts w:ascii="Sitka Heading" w:eastAsia="Times New Roman" w:hAnsi="Sitka Heading" w:cs="Times New Roman"/>
          <w:b/>
          <w:bCs/>
          <w:sz w:val="28"/>
          <w:szCs w:val="28"/>
        </w:rPr>
      </w:pPr>
    </w:p>
    <w:p w14:paraId="6193B32F" w14:textId="77777777" w:rsidR="00607867" w:rsidRPr="002331C2" w:rsidRDefault="00607867" w:rsidP="00607867">
      <w:pPr>
        <w:spacing w:after="0" w:line="240" w:lineRule="auto"/>
        <w:jc w:val="center"/>
        <w:outlineLvl w:val="1"/>
        <w:rPr>
          <w:rFonts w:ascii="Sitka Heading" w:eastAsia="Times New Roman" w:hAnsi="Sitka Heading" w:cs="Times New Roman"/>
          <w:b/>
          <w:bCs/>
          <w:sz w:val="28"/>
          <w:szCs w:val="28"/>
        </w:rPr>
      </w:pPr>
    </w:p>
    <w:p w14:paraId="1D8C0720" w14:textId="4ED38DFD" w:rsidR="00C54D7E" w:rsidRPr="002331C2" w:rsidRDefault="00C54D7E" w:rsidP="00607867">
      <w:pPr>
        <w:spacing w:after="0" w:line="240" w:lineRule="auto"/>
        <w:jc w:val="center"/>
        <w:outlineLvl w:val="1"/>
        <w:rPr>
          <w:rFonts w:ascii="Sitka Heading" w:eastAsia="Times New Roman" w:hAnsi="Sitka Heading" w:cs="Times New Roman"/>
          <w:b/>
          <w:bCs/>
          <w:sz w:val="28"/>
          <w:szCs w:val="28"/>
        </w:rPr>
      </w:pPr>
      <w:r w:rsidRPr="002331C2">
        <w:rPr>
          <w:rFonts w:ascii="Sitka Heading" w:eastAsia="Times New Roman" w:hAnsi="Sitka Heading" w:cs="Times New Roman"/>
          <w:b/>
          <w:bCs/>
          <w:sz w:val="28"/>
          <w:szCs w:val="28"/>
        </w:rPr>
        <w:t>Moeflich Hasbullah</w:t>
      </w:r>
    </w:p>
    <w:p w14:paraId="4BBF3857" w14:textId="03BBFDFD" w:rsidR="00C54D7E" w:rsidRPr="002331C2" w:rsidRDefault="00463049" w:rsidP="00607867">
      <w:pPr>
        <w:spacing w:after="0" w:line="240" w:lineRule="auto"/>
        <w:jc w:val="center"/>
        <w:outlineLvl w:val="1"/>
        <w:rPr>
          <w:rFonts w:ascii="Sitka Heading" w:eastAsia="Times New Roman" w:hAnsi="Sitka Heading" w:cs="Times New Roman"/>
        </w:rPr>
      </w:pPr>
      <w:r w:rsidRPr="002331C2">
        <w:rPr>
          <w:rFonts w:ascii="Sitka Heading" w:eastAsia="Times New Roman" w:hAnsi="Sitka Heading" w:cs="Times New Roman"/>
        </w:rPr>
        <w:t xml:space="preserve">A Senior Lecturer of </w:t>
      </w:r>
      <w:r w:rsidR="00C54D7E" w:rsidRPr="002331C2">
        <w:rPr>
          <w:rFonts w:ascii="Sitka Heading" w:eastAsia="Times New Roman" w:hAnsi="Sitka Heading" w:cs="Times New Roman"/>
        </w:rPr>
        <w:t>Fakultas Adab dan Huma</w:t>
      </w:r>
      <w:r w:rsidRPr="002331C2">
        <w:rPr>
          <w:rFonts w:ascii="Sitka Heading" w:eastAsia="Times New Roman" w:hAnsi="Sitka Heading" w:cs="Times New Roman"/>
        </w:rPr>
        <w:t>ni</w:t>
      </w:r>
      <w:r w:rsidR="00C54D7E" w:rsidRPr="002331C2">
        <w:rPr>
          <w:rFonts w:ascii="Sitka Heading" w:eastAsia="Times New Roman" w:hAnsi="Sitka Heading" w:cs="Times New Roman"/>
        </w:rPr>
        <w:t>ora</w:t>
      </w:r>
    </w:p>
    <w:p w14:paraId="57C17B20" w14:textId="507FFFCC" w:rsidR="00463049" w:rsidRPr="002331C2" w:rsidRDefault="00463049" w:rsidP="00607867">
      <w:pPr>
        <w:spacing w:after="0" w:line="240" w:lineRule="auto"/>
        <w:jc w:val="center"/>
        <w:outlineLvl w:val="1"/>
        <w:rPr>
          <w:rFonts w:ascii="Sitka Heading" w:eastAsia="Times New Roman" w:hAnsi="Sitka Heading" w:cs="Times New Roman"/>
        </w:rPr>
      </w:pPr>
      <w:r w:rsidRPr="002331C2">
        <w:rPr>
          <w:rFonts w:ascii="Sitka Heading" w:eastAsia="Times New Roman" w:hAnsi="Sitka Heading" w:cs="Times New Roman"/>
        </w:rPr>
        <w:t>UIN Sunan Gunung Djati Bandung</w:t>
      </w:r>
    </w:p>
    <w:p w14:paraId="5AB22774" w14:textId="7A4E041D" w:rsidR="00C54D7E" w:rsidRPr="002331C2" w:rsidRDefault="00C54D7E" w:rsidP="00607867">
      <w:pPr>
        <w:spacing w:after="0" w:line="240" w:lineRule="auto"/>
        <w:jc w:val="both"/>
        <w:outlineLvl w:val="1"/>
        <w:rPr>
          <w:rFonts w:ascii="Sitka Heading" w:eastAsia="Times New Roman" w:hAnsi="Sitka Heading" w:cs="Times New Roman"/>
          <w:b/>
          <w:bCs/>
          <w:sz w:val="36"/>
          <w:szCs w:val="36"/>
        </w:rPr>
      </w:pPr>
    </w:p>
    <w:p w14:paraId="1E00B7E9" w14:textId="77777777" w:rsidR="00607867" w:rsidRPr="002331C2" w:rsidRDefault="00607867" w:rsidP="00607867">
      <w:pPr>
        <w:spacing w:after="0" w:line="240" w:lineRule="auto"/>
        <w:jc w:val="both"/>
        <w:outlineLvl w:val="1"/>
        <w:rPr>
          <w:rFonts w:ascii="Sitka Heading" w:eastAsia="Times New Roman" w:hAnsi="Sitka Heading" w:cs="Times New Roman"/>
          <w:b/>
          <w:bCs/>
          <w:sz w:val="36"/>
          <w:szCs w:val="36"/>
        </w:rPr>
      </w:pPr>
    </w:p>
    <w:p w14:paraId="3C318CEB" w14:textId="77777777" w:rsidR="00E35158" w:rsidRPr="002331C2" w:rsidRDefault="00E35158" w:rsidP="00607867">
      <w:pPr>
        <w:spacing w:after="0" w:line="240" w:lineRule="auto"/>
        <w:jc w:val="both"/>
        <w:outlineLvl w:val="1"/>
        <w:rPr>
          <w:rFonts w:ascii="Sitka Heading" w:eastAsia="Times New Roman" w:hAnsi="Sitka Heading" w:cs="Times New Roman"/>
          <w:b/>
          <w:bCs/>
          <w:sz w:val="28"/>
          <w:szCs w:val="28"/>
        </w:rPr>
      </w:pPr>
      <w:r w:rsidRPr="002331C2">
        <w:rPr>
          <w:rFonts w:ascii="Sitka Heading" w:eastAsia="Times New Roman" w:hAnsi="Sitka Heading" w:cs="Times New Roman"/>
          <w:b/>
          <w:bCs/>
          <w:sz w:val="28"/>
          <w:szCs w:val="28"/>
        </w:rPr>
        <w:t>Introduction</w:t>
      </w:r>
    </w:p>
    <w:p w14:paraId="53F7E45E"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West Java is home to more than fifty million people, the vast majority of whom identify as both Sundanese and Muslim. As one of Indonesia's most populous provinces, it offers an important setting for understanding how Islam has developed within a culturally rich and ethnically diverse society. For many international students, daily life in West Java presents a unique experience. Mosques are found in almost every neighborhood, the call to prayer marks the rhythm of the day, Islamic holidays are celebrated collectively, and religious values are often reflected in social interactions. At the same time, visitors quickly discover that Sundanese traditions remain vibrant and deeply embedded in everyday life. This coexistence of strong religious commitment and enduring local culture raises an important question: how did Islam become so closely intertwined with Sundanese society?</w:t>
      </w:r>
    </w:p>
    <w:p w14:paraId="6800D18C"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The relationship between Islam and Sundanese culture represents one of the most significant examples of cultural integration in Southeast Asia. Rather than replacing local traditions through confrontation, Islam gradually became part of the social and cultural landscape of West Java through a long historical process of interaction, adaptation, and mutual accommodation. The spread of Islam in this region was largely characterized by peaceful contacts among merchants, scholars, local rulers, and ordinary communities. As Islamic teachings became more familiar, many of their ethical principles resonated with values that had already been respected within Sundanese society, allowing religious beliefs and local traditions to reinforce rather than negate one another.</w:t>
      </w:r>
    </w:p>
    <w:p w14:paraId="0273DB2E"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 xml:space="preserve">Understanding this historical process is particularly important because Indonesia is home to the world's largest Muslim population while also maintaining remarkable cultural diversity. More than 1,300 ethnic groups, hundreds of local languages, and several </w:t>
      </w:r>
      <w:r w:rsidRPr="002331C2">
        <w:rPr>
          <w:rFonts w:ascii="Sitka Heading" w:eastAsia="Times New Roman" w:hAnsi="Sitka Heading" w:cs="Times New Roman"/>
          <w:sz w:val="24"/>
          <w:szCs w:val="24"/>
        </w:rPr>
        <w:lastRenderedPageBreak/>
        <w:t>officially recognized religions coexist within the Indonesian archipelago. West Java illustrates how Islam has developed within this pluralistic context, demonstrating that religious commitment and cultural identity need not exist in opposition. Instead, they may evolve together, producing forms of religious life that remain faithful to Islamic teachings while expressing themselves through local cultural traditions.</w:t>
      </w:r>
    </w:p>
    <w:p w14:paraId="31AC15BB" w14:textId="45BC7282"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This essay examines the historical development of Islam in West Java and its relationship with Sundanese culture. It begins by discussing the arrival of Islam through maritime trade and commercial interaction before examining the gradual expansion of Muslim communities throughout the region. The discussion then explores the integration of Islamic teachings with Sundanese cultural values and concludes by examining how this historical legacy continues to shape everyday life in contemporary West Java. Rather than presenting Islam solely as a religious doctrine or Sundanese culture merely as a collection of traditions, this essay argues that both have developed through continuous dialogue, producing a distinctive social and cultural identity that remains visible today.</w:t>
      </w:r>
    </w:p>
    <w:p w14:paraId="6981C941" w14:textId="77777777" w:rsidR="00607867" w:rsidRPr="002331C2" w:rsidRDefault="00607867" w:rsidP="00607867">
      <w:pPr>
        <w:spacing w:after="0" w:line="240" w:lineRule="auto"/>
        <w:ind w:firstLine="720"/>
        <w:jc w:val="both"/>
        <w:rPr>
          <w:rFonts w:ascii="Sitka Heading" w:eastAsia="Times New Roman" w:hAnsi="Sitka Heading" w:cs="Times New Roman"/>
          <w:sz w:val="24"/>
          <w:szCs w:val="24"/>
        </w:rPr>
      </w:pPr>
    </w:p>
    <w:p w14:paraId="31CA6C3F" w14:textId="77777777" w:rsidR="00E35158" w:rsidRPr="002331C2" w:rsidRDefault="00E35158" w:rsidP="00607867">
      <w:pPr>
        <w:spacing w:after="0" w:line="240" w:lineRule="auto"/>
        <w:jc w:val="both"/>
        <w:outlineLvl w:val="1"/>
        <w:rPr>
          <w:rFonts w:ascii="Sitka Heading" w:eastAsia="Times New Roman" w:hAnsi="Sitka Heading" w:cs="Times New Roman"/>
          <w:b/>
          <w:bCs/>
          <w:sz w:val="28"/>
          <w:szCs w:val="28"/>
        </w:rPr>
      </w:pPr>
      <w:r w:rsidRPr="002331C2">
        <w:rPr>
          <w:rFonts w:ascii="Sitka Heading" w:eastAsia="Times New Roman" w:hAnsi="Sitka Heading" w:cs="Times New Roman"/>
          <w:b/>
          <w:bCs/>
          <w:sz w:val="28"/>
          <w:szCs w:val="28"/>
        </w:rPr>
        <w:t>The Arrival of Islam in West Java</w:t>
      </w:r>
    </w:p>
    <w:p w14:paraId="3DA7780A"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The arrival of Islam in West Java was neither sudden nor the result of military conquest. Instead, it formed part of a broader historical process that transformed maritime Southeast Asia between the thirteenth and sixteenth centuries. During this period, expanding commercial networks connected the Indonesian archipelago with ports across the Indian Ocean, linking Arabia, Persia, India, China, and Southeast Asia through increasingly intensive trade. West Java occupied an important position within these networks because of its strategic coastal ports, fertile agricultural hinterland, and valuable trade commodities, particularly pepper and rice. Consequently, the region became an active meeting point where merchants exchanged not only goods but also ideas, beliefs, languages, and cultural practices.</w:t>
      </w:r>
    </w:p>
    <w:p w14:paraId="5CB4F897"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Long before the arrival of Islam, the Sundanese region had been integrated into regional and international trade routes. The Sunda Kingdom, which dominated much of present-day West Java before the sixteenth century, maintained commercial relations with neighboring kingdoms as well as foreign merchants. Important ports such as Sunda Kalapa, Banten, and Cirebon attracted traders from diverse cultural backgrounds, creating cosmopolitan environments in which different religious traditions interacted peacefully. It was within these commercial centers that many Sundanese communities first encountered Muslim merchants from Arabia, Gujarat, Persia, and other parts of the Islamic world.</w:t>
      </w:r>
    </w:p>
    <w:p w14:paraId="25B19458"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 xml:space="preserve">Unlike several other historical experiences in which religious expansion accompanied imperial conquest, the introduction of Islam into West Java was largely associated with commercial activity and interpersonal relationships. Muslim merchants were respected not only because of their economic success but also because of their reputation for honesty, reliability, and ethical conduct. Their commercial practices reflected Islamic principles concerning fairness in trade, contractual obligations, and </w:t>
      </w:r>
      <w:r w:rsidRPr="002331C2">
        <w:rPr>
          <w:rFonts w:ascii="Sitka Heading" w:eastAsia="Times New Roman" w:hAnsi="Sitka Heading" w:cs="Times New Roman"/>
          <w:sz w:val="24"/>
          <w:szCs w:val="24"/>
        </w:rPr>
        <w:lastRenderedPageBreak/>
        <w:t>social responsibility. Such behavior contributed to the gradual emergence of trust between Muslim traders and local communities, allowing Islam to be perceived less as a foreign religion than as a moral and ethical tradition embodied in everyday social interactions.</w:t>
      </w:r>
    </w:p>
    <w:p w14:paraId="2894C57E"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Marriage also played an important role in this process. Muslim merchants who settled permanently in coastal towns frequently married local women, establishing families whose descendants became important intermediaries between Islamic and Sundanese cultural traditions. Through these familial relationships, Islamic beliefs entered local communities gradually, allowing new religious ideas to be transmitted alongside existing social customs rather than replacing them abruptly. As Muslim settlements expanded, small mosques, study circles, and religious communities emerged, providing institutional foundations for the further spread of Islam throughout the region.</w:t>
      </w:r>
    </w:p>
    <w:p w14:paraId="6E693E39"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Religious scholars likewise contributed significantly to the Islamization of West Java. Rather than imposing uniform religious practices, many early ulama adopted approaches that emphasized education, dialogue, and cultural sensitivity. They learned local languages, engaged with existing customs, and introduced Islamic teachings in forms that could be understood within local cultural frameworks. This strategy reflected a broader pattern found throughout much of the Indonesian archipelago, where successful religious propagation often depended upon adaptation rather than confrontation.</w:t>
      </w:r>
    </w:p>
    <w:p w14:paraId="56850D89"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Among the most influential figures associated with the spread of Islam in West Java was Sunan Gunung Jati, one of the Wali Songo, or Nine Saints, traditionally recognized for their contributions to the Islamization of Java. Based primarily in Cirebon, Sunan Gunung Jati combined religious leadership with political diplomacy and community development. His influence extended beyond theological instruction, encompassing education, governance, and social organization. Under his leadership, Cirebon emerged not only as an important Islamic kingdom but also as a center of intellectual and commercial activity that facilitated the wider dissemination of Islamic learning across western Java.</w:t>
      </w:r>
    </w:p>
    <w:p w14:paraId="49653249"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The political transformation of the region during the early sixteenth century further accelerated the spread of Islam. The establishment and expansion of the Sultanates of Cirebon and Banten strengthened Islamic political authority along the northern coast of Java while facilitating closer connections with other Muslim polities throughout Southeast Asia. The capture of Sunda Kalapa in 1527 symbolized an important shift in regional political dynamics and marked the increasing influence of Islamic kingdoms in western Java. Nevertheless, political developments alone cannot adequately explain the widespread acceptance of Islam among the Sundanese population. Conversion remained a gradual social process shaped by commercial exchange, educational activities, family relationships, and the growing moral authority of Muslim scholars.</w:t>
      </w:r>
    </w:p>
    <w:p w14:paraId="4A46FB7A" w14:textId="77777777"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 xml:space="preserve">Perhaps the most important reason for the successful spread of Islam in West Java lies in the compatibility between Islamic ethical teachings and many pre-existing Sundanese social values. Respect for parents and elders, honesty in social relations, mutual cooperation, hospitality, and communal responsibility had long occupied central </w:t>
      </w:r>
      <w:r w:rsidRPr="002331C2">
        <w:rPr>
          <w:rFonts w:ascii="Sitka Heading" w:eastAsia="Times New Roman" w:hAnsi="Sitka Heading" w:cs="Times New Roman"/>
          <w:sz w:val="24"/>
          <w:szCs w:val="24"/>
        </w:rPr>
        <w:lastRenderedPageBreak/>
        <w:t>positions within Sundanese culture. Islamic teachings reinforced rather than displaced these values, enabling local communities to embrace a new religious identity without abandoning their cultural heritage. Consequently, conversion to Islam was often experienced not as a rejection of Sundanese identity but as its ethical and spiritual enrichment.</w:t>
      </w:r>
    </w:p>
    <w:p w14:paraId="202A52CF" w14:textId="3312AF43" w:rsidR="00E35158" w:rsidRPr="002331C2" w:rsidRDefault="00E35158" w:rsidP="00607867">
      <w:pPr>
        <w:spacing w:after="0" w:line="240" w:lineRule="auto"/>
        <w:ind w:firstLine="720"/>
        <w:jc w:val="both"/>
        <w:rPr>
          <w:rFonts w:ascii="Sitka Heading" w:eastAsia="Times New Roman" w:hAnsi="Sitka Heading" w:cs="Times New Roman"/>
          <w:sz w:val="24"/>
          <w:szCs w:val="24"/>
        </w:rPr>
      </w:pPr>
      <w:r w:rsidRPr="002331C2">
        <w:rPr>
          <w:rFonts w:ascii="Sitka Heading" w:eastAsia="Times New Roman" w:hAnsi="Sitka Heading" w:cs="Times New Roman"/>
          <w:sz w:val="24"/>
          <w:szCs w:val="24"/>
        </w:rPr>
        <w:t>The historical experience of West Java therefore demonstrates that religious transformation may occur through gradual social interaction rather than coercive political domination. Islam expanded because it became embedded within everyday relationships, economic activities, educational institutions, and local communities. This pattern of peaceful accommodation would later shape the distinctive character of Sundanese Islam and provide the foundation for the enduring relationship between religion and culture that continues to characterize West Java today.</w:t>
      </w:r>
    </w:p>
    <w:p w14:paraId="6EDA5F59" w14:textId="77777777" w:rsidR="00607867" w:rsidRPr="002331C2" w:rsidRDefault="00607867" w:rsidP="00607867">
      <w:pPr>
        <w:spacing w:after="0" w:line="240" w:lineRule="auto"/>
        <w:ind w:firstLine="720"/>
        <w:jc w:val="both"/>
        <w:rPr>
          <w:rFonts w:ascii="Sitka Heading" w:eastAsia="Times New Roman" w:hAnsi="Sitka Heading" w:cs="Times New Roman"/>
          <w:sz w:val="24"/>
          <w:szCs w:val="24"/>
        </w:rPr>
      </w:pPr>
    </w:p>
    <w:p w14:paraId="1ECE23F0" w14:textId="77777777" w:rsidR="00E35158" w:rsidRPr="002331C2" w:rsidRDefault="00E35158" w:rsidP="00607867">
      <w:pPr>
        <w:pStyle w:val="Heading2"/>
        <w:spacing w:before="0" w:beforeAutospacing="0" w:after="0" w:afterAutospacing="0"/>
        <w:jc w:val="both"/>
        <w:rPr>
          <w:rFonts w:ascii="Sitka Heading" w:hAnsi="Sitka Heading"/>
          <w:sz w:val="28"/>
          <w:szCs w:val="28"/>
        </w:rPr>
      </w:pPr>
      <w:r w:rsidRPr="002331C2">
        <w:rPr>
          <w:rFonts w:ascii="Sitka Heading" w:hAnsi="Sitka Heading"/>
          <w:sz w:val="28"/>
          <w:szCs w:val="28"/>
        </w:rPr>
        <w:t>The Development of Islam in Sundanese Society</w:t>
      </w:r>
    </w:p>
    <w:p w14:paraId="65455FB7"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Following its initial introduction through maritime trade and commercial interaction, Islam gradually developed from a minority faith practiced in coastal settlements into the dominant religion throughout West Java. This transformation did not occur as a single historical event but rather as a cumulative social process that unfolded over several centuries. The expansion of Islam involved the interaction of political institutions, educational networks, religious scholars, local communities, and economic relationships, all of which contributed to the formation of a distinctly Sundanese Muslim society.</w:t>
      </w:r>
    </w:p>
    <w:p w14:paraId="3175CBCB"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One of the most significant developments in this process was the emergence of Islamic political authority along the northern coast of Java. The Sultanates of Cirebon and Banten became important centers of Islamic governance during the sixteenth century. Their significance, however, extended well beyond politics. These kingdoms functioned as centers of trade, diplomacy, scholarship, and religious learning, connecting West Java with broader intellectual and commercial networks across the Muslim world. Through these connections, Islamic ideas, legal traditions, educational practices, and scholarly texts circulated more widely throughout the region.</w:t>
      </w:r>
    </w:p>
    <w:p w14:paraId="0F17FC32"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The political consolidation of Islamic kingdoms also created greater institutional support for religious education. Mosques, study circles, and Islamic learning centers became increasingly common, particularly in urban and coastal areas. Religious scholars, known as </w:t>
      </w:r>
      <w:r w:rsidRPr="002331C2">
        <w:rPr>
          <w:rStyle w:val="Emphasis"/>
          <w:rFonts w:ascii="Sitka Heading" w:hAnsi="Sitka Heading"/>
        </w:rPr>
        <w:t>ulama</w:t>
      </w:r>
      <w:r w:rsidRPr="002331C2">
        <w:rPr>
          <w:rFonts w:ascii="Sitka Heading" w:hAnsi="Sitka Heading"/>
        </w:rPr>
        <w:t>, played an essential role in transmitting Islamic knowledge from one generation to the next. Their influence was not confined to theological instruction. They also served as community leaders, mediators in social disputes, advisers to local rulers, and educators whose authority rested largely upon moral integrity rather than political power. Consequently, religious leadership became closely associated with public service and community development.</w:t>
      </w:r>
    </w:p>
    <w:p w14:paraId="2632CEA7"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An equally important institution in the development of Islam in West Java was the </w:t>
      </w:r>
      <w:r w:rsidRPr="002331C2">
        <w:rPr>
          <w:rStyle w:val="Emphasis"/>
          <w:rFonts w:ascii="Sitka Heading" w:hAnsi="Sitka Heading"/>
        </w:rPr>
        <w:t>pesantren</w:t>
      </w:r>
      <w:r w:rsidRPr="002331C2">
        <w:rPr>
          <w:rFonts w:ascii="Sitka Heading" w:hAnsi="Sitka Heading"/>
        </w:rPr>
        <w:t xml:space="preserve">, the traditional Islamic boarding school. Although its precise historical origins </w:t>
      </w:r>
      <w:r w:rsidRPr="002331C2">
        <w:rPr>
          <w:rFonts w:ascii="Sitka Heading" w:hAnsi="Sitka Heading"/>
        </w:rPr>
        <w:lastRenderedPageBreak/>
        <w:t xml:space="preserve">remain a subject of scholarly debate, the pesantren system has existed for several centuries and represents one of Indonesia's oldest continuously functioning educational traditions. Unlike formal schools that emphasize classroom instruction alone, pesantren combine intellectual learning with character formation, communal living, and spiritual discipline. Students, commonly known as </w:t>
      </w:r>
      <w:r w:rsidRPr="002331C2">
        <w:rPr>
          <w:rStyle w:val="Emphasis"/>
          <w:rFonts w:ascii="Sitka Heading" w:hAnsi="Sitka Heading"/>
        </w:rPr>
        <w:t>santri</w:t>
      </w:r>
      <w:r w:rsidRPr="002331C2">
        <w:rPr>
          <w:rFonts w:ascii="Sitka Heading" w:hAnsi="Sitka Heading"/>
        </w:rPr>
        <w:t xml:space="preserve">, live together under the guidance of a </w:t>
      </w:r>
      <w:r w:rsidRPr="002331C2">
        <w:rPr>
          <w:rStyle w:val="Emphasis"/>
          <w:rFonts w:ascii="Sitka Heading" w:hAnsi="Sitka Heading"/>
        </w:rPr>
        <w:t>kiai</w:t>
      </w:r>
      <w:r w:rsidRPr="002331C2">
        <w:rPr>
          <w:rFonts w:ascii="Sitka Heading" w:hAnsi="Sitka Heading"/>
        </w:rPr>
        <w:t>, or respected religious scholar, creating an educational environment in which knowledge is integrated with ethical practice.</w:t>
      </w:r>
    </w:p>
    <w:p w14:paraId="062E90E6"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educational philosophy of the pesantren extends beyond the transmission of religious doctrine. Students study Qur'anic interpretation, Islamic jurisprudence, theology, Arabic language, and prophetic traditions, while simultaneously developing habits of discipline, responsibility, humility, cooperation, and social service. Education is therefore understood not merely as the acquisition of knowledge but as the cultivation of moral character. This holistic approach has contributed significantly to the enduring influence of pesantren within Indonesian society, producing generations of scholars, teachers, community leaders, intellectuals, entrepreneurs, and public officials.</w:t>
      </w:r>
    </w:p>
    <w:p w14:paraId="43796BD2"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remarkable resilience of the pesantren tradition illustrates an important characteristic of Indonesian Islam. Rather than functioning as isolated religious institutions, pesantren have historically maintained close relationships with surrounding communities. Religious education has therefore remained connected to everyday social life, allowing Islamic values to become integrated into family relationships, local customs, economic activities, and communal responsibilities. This close interaction between educational institutions and society has enabled Islamic teachings to remain socially relevant while adapting to changing historical circumstances.</w:t>
      </w:r>
    </w:p>
    <w:p w14:paraId="242A2DD5"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expansion of Islam in West Java was also facilitated by the mobility of scholars and students. Throughout history, many Indonesian religious scholars pursued advanced studies in major centers of Islamic learning such as Mecca, Medina, Cairo, and Hadramaut before returning to Southeast Asia. These transnational scholarly networks enabled the continuous exchange of religious ideas while simultaneously strengthening connections between Indonesian Muslims and the wider Islamic world. At the same time, local scholars interpreted Islamic teachings within the cultural realities of Sundanese society, producing religious practices that remained faithful to Islamic principles while responding to local social contexts.</w:t>
      </w:r>
    </w:p>
    <w:p w14:paraId="012D165B"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It is important to emphasize that the Islamization of West Java did not imply the disappearance of local cultural traditions. Historical evidence instead suggests a gradual process of accommodation in which Islamic beliefs were incorporated into existing social structures. Rather than eradicating local customs indiscriminately, religious scholars often distinguished between cultural practices that were compatible with Islamic ethical principles and those considered inconsistent with Islamic theology. This selective process of adaptation enabled many aspects of Sundanese culture to survive while simultaneously acquiring new religious meanings.</w:t>
      </w:r>
    </w:p>
    <w:p w14:paraId="39BF4998"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lastRenderedPageBreak/>
        <w:t>Another significant factor contributing to the expansion of Islam was the central role of family and community life. Religious knowledge was transmitted not only through formal educational institutions but also within households and neighborhoods. Parents introduced children to Islamic beliefs from an early age through daily prayer, Qur'anic recitation, religious celebrations, and moral instruction. Community gatherings, weddings, funerals, and collective religious commemorations further reinforced Islamic values as shared social experiences rather than merely individual acts of worship. Consequently, Islam gradually became woven into the ordinary routines of everyday life.</w:t>
      </w:r>
    </w:p>
    <w:p w14:paraId="7A773052"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continued growth of Islam in West Java cannot be explained solely by demographic change or political authority. Its enduring influence resulted from the successful integration of religious institutions into the broader social fabric of Sundanese society. Mosques became centers of worship as well as community activities. Religious festivals strengthened social solidarity. Islamic education promoted both intellectual development and ethical formation. Families transmitted religious traditions across generations, while local communities provided supportive environments in which Islamic values could be practiced collectively.</w:t>
      </w:r>
    </w:p>
    <w:p w14:paraId="4985B8DE" w14:textId="4A88DA82"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Today, more than six centuries after Islam first established a lasting presence in West Java, the religion continues to occupy a central place within Sundanese society. Nevertheless, the historical significance of this development lies not simply in the numerical growth of the Muslim population. More importantly, Islam became embedded within the cultural, educational, and social institutions of the region. As a result, religious identity developed alongside, rather than in opposition to, Sundanese cultural identity. This historical relationship provides the essential context for understanding how Islam and Sundanese culture have interacted over time to produce one of Southeast Asia's most distinctive examples of religious and cultural integration.</w:t>
      </w:r>
    </w:p>
    <w:p w14:paraId="7F338CC2" w14:textId="77777777" w:rsidR="00607867" w:rsidRPr="002331C2" w:rsidRDefault="00607867" w:rsidP="00607867">
      <w:pPr>
        <w:pStyle w:val="NormalWeb"/>
        <w:spacing w:before="0" w:beforeAutospacing="0" w:after="0" w:afterAutospacing="0"/>
        <w:ind w:firstLine="720"/>
        <w:jc w:val="both"/>
        <w:rPr>
          <w:rFonts w:ascii="Sitka Heading" w:hAnsi="Sitka Heading"/>
        </w:rPr>
      </w:pPr>
    </w:p>
    <w:p w14:paraId="64FF0649" w14:textId="77777777" w:rsidR="00E35158" w:rsidRPr="002331C2" w:rsidRDefault="00E35158" w:rsidP="00607867">
      <w:pPr>
        <w:pStyle w:val="Heading2"/>
        <w:spacing w:before="0" w:beforeAutospacing="0" w:after="0" w:afterAutospacing="0"/>
        <w:jc w:val="both"/>
        <w:rPr>
          <w:rFonts w:ascii="Sitka Heading" w:hAnsi="Sitka Heading"/>
          <w:sz w:val="28"/>
          <w:szCs w:val="28"/>
        </w:rPr>
      </w:pPr>
      <w:r w:rsidRPr="002331C2">
        <w:rPr>
          <w:rFonts w:ascii="Sitka Heading" w:hAnsi="Sitka Heading"/>
          <w:sz w:val="28"/>
          <w:szCs w:val="28"/>
        </w:rPr>
        <w:t>The Integration of Islam and Sundanese Culture</w:t>
      </w:r>
    </w:p>
    <w:p w14:paraId="26A102B3"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historical development of Islam in West Java cannot be adequately understood simply as the replacement of one religious tradition by another. Such an interpretation overlooks the complex social and cultural processes through which Islam became deeply rooted within Sundanese society. Rather than eliminating local culture, Islam interacted with it through a gradual process of dialogue, adaptation, and reinterpretation. Over time, this interaction produced a distinctive synthesis in which Islamic religious principles and Sundanese cultural values reinforced one another while maintaining their respective identities.</w:t>
      </w:r>
    </w:p>
    <w:p w14:paraId="09F16140"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This pattern of cultural integration is one of the defining characteristics of Islam in Indonesia. Unlike historical experiences in which religious conversion was accompanied by the suppression of local traditions, the spread of Islam in West Java generally allowed existing cultural practices to continue, provided they did not conflict with the fundamental principles of Islamic belief. As a result, many aspects of Sundanese culture survived the Islamization process while gradually acquiring new ethical and </w:t>
      </w:r>
      <w:r w:rsidRPr="002331C2">
        <w:rPr>
          <w:rFonts w:ascii="Sitka Heading" w:hAnsi="Sitka Heading"/>
        </w:rPr>
        <w:lastRenderedPageBreak/>
        <w:t>spiritual meanings. Islam became an integral part of cultural life, and culture, in turn, became one of the principal vehicles through which Islamic values were expressed in everyday society.</w:t>
      </w:r>
    </w:p>
    <w:p w14:paraId="0C2C8E06"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From a sociological perspective, this process may be understood as cultural accommodation. New religious ideas are more readily accepted when they resonate with values already recognized by the receiving community. In the Sundanese case, Islamic teachings concerning honesty, compassion, respect for parents, communal responsibility, modesty, and mutual assistance corresponded closely with ethical principles that had long been embedded within local society. Rather than introducing entirely unfamiliar moral concepts, Islam strengthened and universalized values that many Sundanese communities already considered essential for harmonious social life.</w:t>
      </w:r>
    </w:p>
    <w:p w14:paraId="24513161"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Among the best-known expressions of Sundanese ethical philosophy are the concepts of </w:t>
      </w:r>
      <w:r w:rsidRPr="002331C2">
        <w:rPr>
          <w:rStyle w:val="Emphasis"/>
          <w:rFonts w:ascii="Sitka Heading" w:hAnsi="Sitka Heading"/>
        </w:rPr>
        <w:t>silih asih</w:t>
      </w:r>
      <w:r w:rsidRPr="002331C2">
        <w:rPr>
          <w:rFonts w:ascii="Sitka Heading" w:hAnsi="Sitka Heading"/>
        </w:rPr>
        <w:t xml:space="preserve">, </w:t>
      </w:r>
      <w:r w:rsidRPr="002331C2">
        <w:rPr>
          <w:rStyle w:val="Emphasis"/>
          <w:rFonts w:ascii="Sitka Heading" w:hAnsi="Sitka Heading"/>
        </w:rPr>
        <w:t>silih asah</w:t>
      </w:r>
      <w:r w:rsidRPr="002331C2">
        <w:rPr>
          <w:rFonts w:ascii="Sitka Heading" w:hAnsi="Sitka Heading"/>
        </w:rPr>
        <w:t xml:space="preserve">, and </w:t>
      </w:r>
      <w:r w:rsidRPr="002331C2">
        <w:rPr>
          <w:rStyle w:val="Emphasis"/>
          <w:rFonts w:ascii="Sitka Heading" w:hAnsi="Sitka Heading"/>
        </w:rPr>
        <w:t>silih asuh</w:t>
      </w:r>
      <w:r w:rsidRPr="002331C2">
        <w:rPr>
          <w:rFonts w:ascii="Sitka Heading" w:hAnsi="Sitka Heading"/>
        </w:rPr>
        <w:t>. Although these expressions originate within Sundanese cultural traditions, they illustrate values that correspond closely with Islamic ethical teachings and therefore provide an illuminating example of the interaction between religion and culture.</w:t>
      </w:r>
    </w:p>
    <w:p w14:paraId="59E02EBA"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The first principle, </w:t>
      </w:r>
      <w:r w:rsidRPr="002331C2">
        <w:rPr>
          <w:rStyle w:val="Emphasis"/>
          <w:rFonts w:ascii="Sitka Heading" w:hAnsi="Sitka Heading"/>
        </w:rPr>
        <w:t>silih asih</w:t>
      </w:r>
      <w:r w:rsidRPr="002331C2">
        <w:rPr>
          <w:rFonts w:ascii="Sitka Heading" w:hAnsi="Sitka Heading"/>
        </w:rPr>
        <w:t xml:space="preserve">, literally means "to love one another" or "to care for one another." It emphasizes compassion, empathy, generosity, and mutual concern within human relationships. Social harmony is maintained not merely through formal rules but through sincere concern for the welfare of others. This cultural principle resonates strongly with the Islamic understanding of </w:t>
      </w:r>
      <w:r w:rsidRPr="002331C2">
        <w:rPr>
          <w:rStyle w:val="Emphasis"/>
          <w:rFonts w:ascii="Sitka Heading" w:hAnsi="Sitka Heading"/>
        </w:rPr>
        <w:t>rahmah</w:t>
      </w:r>
      <w:r w:rsidRPr="002331C2">
        <w:rPr>
          <w:rFonts w:ascii="Sitka Heading" w:hAnsi="Sitka Heading"/>
        </w:rPr>
        <w:t xml:space="preserve"> (mercy and compassion), which occupies a central place within the Qur'an and the teachings of the Prophet Muhammad. In both traditions, genuine religiosity is reflected not only through ritual observance but also through kindness toward family members, neighbors, strangers, and vulnerable members of society.</w:t>
      </w:r>
    </w:p>
    <w:p w14:paraId="086D8345"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The second principle, </w:t>
      </w:r>
      <w:r w:rsidRPr="002331C2">
        <w:rPr>
          <w:rStyle w:val="Emphasis"/>
          <w:rFonts w:ascii="Sitka Heading" w:hAnsi="Sitka Heading"/>
        </w:rPr>
        <w:t>silih asah</w:t>
      </w:r>
      <w:r w:rsidRPr="002331C2">
        <w:rPr>
          <w:rFonts w:ascii="Sitka Heading" w:hAnsi="Sitka Heading"/>
        </w:rPr>
        <w:t>, refers to the mutual sharing of knowledge and the continuous improvement of human understanding. Learning is viewed as a collective responsibility rather than an individual achievement. Knowledge should benefit society, and those who possess knowledge have a moral obligation to educate others. This understanding corresponds closely with the Islamic emphasis upon the pursuit of knowledge (</w:t>
      </w:r>
      <w:r w:rsidRPr="002331C2">
        <w:rPr>
          <w:rStyle w:val="Emphasis"/>
          <w:rFonts w:ascii="Sitka Heading" w:hAnsi="Sitka Heading"/>
        </w:rPr>
        <w:t>'ilm</w:t>
      </w:r>
      <w:r w:rsidRPr="002331C2">
        <w:rPr>
          <w:rFonts w:ascii="Sitka Heading" w:hAnsi="Sitka Heading"/>
        </w:rPr>
        <w:t>), which has historically occupied a central position within Muslim intellectual civilization. From the earliest period of Islamic history, education has been regarded as an act of worship and a means of cultivating both intellectual excellence and moral responsibility. The flourishing tradition of pesantren in West Java may therefore be understood not only as an Islamic educational institution but also as a continuation of the Sundanese appreciation for learning within a new religious framework.</w:t>
      </w:r>
    </w:p>
    <w:p w14:paraId="6C519E8B"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The third principle, </w:t>
      </w:r>
      <w:r w:rsidRPr="002331C2">
        <w:rPr>
          <w:rStyle w:val="Emphasis"/>
          <w:rFonts w:ascii="Sitka Heading" w:hAnsi="Sitka Heading"/>
        </w:rPr>
        <w:t>silih asuh</w:t>
      </w:r>
      <w:r w:rsidRPr="002331C2">
        <w:rPr>
          <w:rFonts w:ascii="Sitka Heading" w:hAnsi="Sitka Heading"/>
        </w:rPr>
        <w:t xml:space="preserve">, emphasizes guidance, protection, and mutual responsibility among members of society. It encourages individuals to nurture younger generations, care for those in need, and provide moral leadership within families and communities. Similar ethical obligations are repeatedly emphasized within Islamic teachings concerning parental responsibility, community solidarity, and social justice. </w:t>
      </w:r>
      <w:r w:rsidRPr="002331C2">
        <w:rPr>
          <w:rFonts w:ascii="Sitka Heading" w:hAnsi="Sitka Heading"/>
        </w:rPr>
        <w:lastRenderedPageBreak/>
        <w:t>Consequently, the practice of caring for others came to be understood simultaneously as an expression of Sundanese cultural identity and as the fulfillment of Islamic moral obligations.</w:t>
      </w:r>
    </w:p>
    <w:p w14:paraId="123C2858"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Taken together, these three cultural principles demonstrate that Islam did not establish itself in West Java by replacing existing ethical traditions. Instead, it strengthened values that were already familiar while providing them with broader theological and spiritual foundations. This historical process helps explain why Islamic identity became deeply embedded within Sundanese society without eliminating local cultural distinctiveness.</w:t>
      </w:r>
    </w:p>
    <w:p w14:paraId="28E47689"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integration of Islam and Sundanese culture is also reflected in patterns of social interaction. Hospitality occupies an important place in both traditions. Guests are welcomed with warmth and respect, neighbors are expected to assist one another during times of difficulty, and communal cooperation remains highly valued. Such practices are not perceived solely as cultural customs or exclusively as religious obligations. Rather, they are understood as complementary expressions of both identities simultaneously. The convergence of religious teachings and cultural expectations reinforces social cohesion and contributes to the strong communal orientation characteristic of Sundanese society.</w:t>
      </w:r>
    </w:p>
    <w:p w14:paraId="5FA432F2"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Respect for parents and elders provides another illustration of this integration. Sundanese culture has long emphasized proper etiquette, humility, and deference toward older generations. These values correspond closely with Qur'anic teachings concerning filial responsibility and the moral obligation to honor one's parents. Consequently, everyday practices such as polite speech, respectful forms of address, and intergenerational solidarity derive support from both cultural tradition and religious teaching. Their continued importance reflects the mutually reinforcing relationship between Islam and Sundanese social norms.</w:t>
      </w:r>
    </w:p>
    <w:p w14:paraId="39434B33"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Language itself offers further evidence of this cultural synthesis. The Sundanese language contains distinct levels of speech that express politeness, humility, and respect according to age and social relationships. While these linguistic forms predate the arrival of Islam, they have remained compatible with Islamic ethical ideals emphasizing good manners (</w:t>
      </w:r>
      <w:r w:rsidRPr="002331C2">
        <w:rPr>
          <w:rStyle w:val="Emphasis"/>
          <w:rFonts w:ascii="Sitka Heading" w:hAnsi="Sitka Heading"/>
        </w:rPr>
        <w:t>adab</w:t>
      </w:r>
      <w:r w:rsidRPr="002331C2">
        <w:rPr>
          <w:rFonts w:ascii="Sitka Heading" w:hAnsi="Sitka Heading"/>
        </w:rPr>
        <w:t>), humility, and respect for others. Religious sermons, Islamic education, and everyday communication frequently employ these linguistic conventions, illustrating how local cultural forms continue to shape the expression of religious values.</w:t>
      </w:r>
    </w:p>
    <w:p w14:paraId="65A8C2D6"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Religious celebrations likewise reveal the close interaction between Islam and Sundanese cultural life. Islamic festivals such as Eid al-Fitr and Eid al-Adha are observed according to universal Islamic teachings, yet their social expression often reflects local traditions of hospitality, communal meals, family gatherings, and neighborhood cooperation. Likewise, communal Qur'anic recitations, charitable activities, and collective prayers are frequently accompanied by forms of social interaction rooted in Sundanese customs. These practices demonstrate that religious observance and cultural expression need not exist in opposition but may instead enrich one another within shared communal life.</w:t>
      </w:r>
    </w:p>
    <w:p w14:paraId="16476762"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lastRenderedPageBreak/>
        <w:t>Nevertheless, the relationship between Islam and culture has never been entirely static. Throughout history, Muslim scholars in Indonesia have engaged in continuous discussions regarding the appropriate relationship between religious doctrine and local tradition. Certain customs have been modified, reinterpreted, or abandoned when considered inconsistent with Islamic theological principles. This dynamic process illustrates that cultural integration does not imply the uncritical acceptance of every inherited practice. Rather, it involves an ongoing dialogue in which religious teachings provide ethical guidance while culture offers meaningful social forms through which those teachings are lived and experienced.</w:t>
      </w:r>
    </w:p>
    <w:p w14:paraId="4C55D3B2" w14:textId="77ABDF04"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experience of West Java therefore challenges simplistic assumptions that religion and local culture necessarily exist in permanent conflict. Instead, it demonstrates that religious traditions may become deeply rooted within local societies through processes of adaptation, ethical dialogue, and cultural accommodation. Islam did not become "Sundanese," nor did Sundanese culture become merely "Islamic." Rather, each retained its own identity while contributing to a shared social reality in which religious commitment and cultural heritage developed side by side. This enduring relationship remains one of the defining characteristics of contemporary Sundanese society and provides an important example for understanding the broader interaction between Islam and local cultures throughout Southeast Asia.</w:t>
      </w:r>
    </w:p>
    <w:p w14:paraId="17979611" w14:textId="77777777" w:rsidR="00607867" w:rsidRPr="002331C2" w:rsidRDefault="00607867" w:rsidP="00607867">
      <w:pPr>
        <w:pStyle w:val="NormalWeb"/>
        <w:spacing w:before="0" w:beforeAutospacing="0" w:after="0" w:afterAutospacing="0"/>
        <w:ind w:firstLine="720"/>
        <w:jc w:val="both"/>
        <w:rPr>
          <w:rFonts w:ascii="Sitka Heading" w:hAnsi="Sitka Heading"/>
        </w:rPr>
      </w:pPr>
    </w:p>
    <w:p w14:paraId="551C8A2C" w14:textId="77777777" w:rsidR="00E35158" w:rsidRPr="002331C2" w:rsidRDefault="00E35158" w:rsidP="00607867">
      <w:pPr>
        <w:pStyle w:val="Heading2"/>
        <w:spacing w:before="0" w:beforeAutospacing="0" w:after="0" w:afterAutospacing="0"/>
        <w:jc w:val="both"/>
        <w:rPr>
          <w:rFonts w:ascii="Sitka Heading" w:hAnsi="Sitka Heading"/>
          <w:sz w:val="28"/>
          <w:szCs w:val="28"/>
        </w:rPr>
      </w:pPr>
      <w:r w:rsidRPr="002331C2">
        <w:rPr>
          <w:rFonts w:ascii="Sitka Heading" w:hAnsi="Sitka Heading"/>
          <w:sz w:val="28"/>
          <w:szCs w:val="28"/>
        </w:rPr>
        <w:t>Islam in Everyday Life in Contemporary West Java</w:t>
      </w:r>
    </w:p>
    <w:p w14:paraId="42EDA67B"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historical interaction between Islam and Sundanese culture continues to shape everyday life in contemporary West Java. Although the province has experienced rapid urbanization, industrial development, globalization, and technological change, many aspects of social life remain deeply influenced by Islamic values expressed through local cultural traditions. Religion is not confined to formal institutions or places of worship but is woven into the rhythms of family life, education, community relations, and public culture.</w:t>
      </w:r>
    </w:p>
    <w:p w14:paraId="32189720"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One of the most visible features of everyday life is the presence of the mosque as a community institution. In addition to serving as places of congregational worship, mosques function as centers for religious education, charitable activities, youth programs, public discussions, and neighborhood meetings. In many villages and urban neighborhoods alike, the mosque remains an important social institution that strengthens community solidarity while providing opportunities for religious learning throughout all stages of life.</w:t>
      </w:r>
    </w:p>
    <w:p w14:paraId="746A6350"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daily call to prayer, heard five times each day, also illustrates how religion forms part of the public soundscape of West Java. Beyond its primary religious function of inviting Muslims to perform prayer, the adhan serves as a familiar marker of time that structures the rhythm of everyday activities. For many residents, the call to prayer symbolizes continuity, community, and spiritual awareness within the routines of ordinary life.</w:t>
      </w:r>
    </w:p>
    <w:p w14:paraId="3070F936"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lastRenderedPageBreak/>
        <w:t>Education continues to play a central role in preserving both Islamic and Sundanese traditions. Alongside public schools and universities, Islamic educational institutions remain highly influential throughout the province. Thousands of pesantren continue to educate students in religious sciences while simultaneously emphasizing discipline, social responsibility, leadership, and ethical conduct. Many families regard these institutions not merely as centers of religious instruction but as places where moral character is cultivated alongside intellectual development.</w:t>
      </w:r>
    </w:p>
    <w:p w14:paraId="79155DE9"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Religious values are equally visible in family and community relationships. Respect for parents and elders remains a fundamental social expectation. Community cooperation during weddings, funerals, religious celebrations, and charitable activities reflects enduring traditions of mutual assistance and collective responsibility. Although such practices may appear cultural in form, they are frequently understood by local communities as expressions of Islamic ethics as well as Sundanese social values. The distinction between religious obligation and cultural custom is therefore often less significant in everyday practice than it appears in theoretical discussions.</w:t>
      </w:r>
    </w:p>
    <w:p w14:paraId="43C0B6EB"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annual observance of Ramadan offers another important illustration of the integration between religion and society. Throughout the fasting month, public life undergoes noticeable changes. Families gather each evening to break the fast together, mosques become increasingly active with communal prayers, charitable initiatives expand, and neighborhoods organize various religious and social activities. Ramadan is therefore experienced not only as an individual act of devotion but also as a collective expression of community solidarity. The social atmosphere created during this month demonstrates the close relationship between religious observance and communal life that characterizes many parts of Indonesia, including West Java.</w:t>
      </w:r>
    </w:p>
    <w:p w14:paraId="53363833"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Despite these strong religious traditions, contemporary West Java also reflects the realities of a modern and increasingly globalized society. Large cities such as Bandung, Bogor, Bekasi, and Depok have become important centers of higher education, technology, creative industries, commerce, and international exchange. Universities welcome students from diverse religious, cultural, and national backgrounds, creating opportunities for intercultural dialogue and academic collaboration. As a result, many Sundanese Muslims navigate multiple identities simultaneously—as members of local communities, citizens of Indonesia, participants in the global economy, and members of the worldwide Muslim community.</w:t>
      </w:r>
    </w:p>
    <w:p w14:paraId="6216ECC5"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Globalization has inevitably introduced new social and cultural challenges. Digital communication, social media, migration, consumer culture, and rapid economic transformation have altered patterns of social interaction, particularly among younger generations. These developments have generated ongoing discussions concerning religious authority, cultural identity, and the preservation of local traditions. Nevertheless, the historical capacity of Sundanese society to accommodate change while maintaining core ethical values has enabled many communities to respond to </w:t>
      </w:r>
      <w:r w:rsidRPr="002331C2">
        <w:rPr>
          <w:rFonts w:ascii="Sitka Heading" w:hAnsi="Sitka Heading"/>
        </w:rPr>
        <w:lastRenderedPageBreak/>
        <w:t>contemporary challenges without abandoning either their cultural heritage or their religious commitments.</w:t>
      </w:r>
    </w:p>
    <w:p w14:paraId="24861F27"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Another important characteristic of contemporary West Java is the coexistence of religious commitment with Indonesia's broader framework of social and religious pluralism. Although Muslims constitute the overwhelming majority of the population, followers of Christianity, Catholicism, Hinduism, Buddhism, Confucianism, and indigenous belief traditions also contribute to the cultural diversity of the province. Everyday interaction within schools, universities, workplaces, and neighborhoods frequently brings individuals from different backgrounds into contact with one another. While challenges occasionally arise, peaceful coexistence remains an important aspiration supported by both constitutional principles and long-standing cultural values emphasizing mutual respect and social harmony.</w:t>
      </w:r>
    </w:p>
    <w:p w14:paraId="4865EFFD"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For international students, everyday life in West Java provides an opportunity to observe Islam not merely as a theological system but as a lived social reality. Visitors quickly discover that religious identity is expressed through ordinary acts of kindness, hospitality, cooperation, family relationships, educational activities, and community participation. Such experiences often challenge simplified representations of Islam that circulate in international media by revealing the diversity of Muslim societies and the importance of local historical contexts.</w:t>
      </w:r>
    </w:p>
    <w:p w14:paraId="09B48811" w14:textId="2D64B629"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experience of West Java demonstrates that Islam cannot be understood apart from the society within which it has developed. Religious beliefs are interpreted, practiced, and transmitted through cultural institutions, educational traditions, family relationships, and everyday social interactions. Consequently, understanding Islam in Indonesia requires attention not only to religious texts and theological doctrines but also to the historical and cultural environments that have shaped their social expression.</w:t>
      </w:r>
    </w:p>
    <w:p w14:paraId="0BAD0E47" w14:textId="77777777" w:rsidR="00607867" w:rsidRPr="002331C2" w:rsidRDefault="00607867" w:rsidP="00607867">
      <w:pPr>
        <w:pStyle w:val="NormalWeb"/>
        <w:spacing w:before="0" w:beforeAutospacing="0" w:after="0" w:afterAutospacing="0"/>
        <w:ind w:firstLine="720"/>
        <w:jc w:val="both"/>
        <w:rPr>
          <w:rFonts w:ascii="Sitka Heading" w:hAnsi="Sitka Heading"/>
        </w:rPr>
      </w:pPr>
    </w:p>
    <w:p w14:paraId="6DD4AEC4" w14:textId="77777777" w:rsidR="00E35158" w:rsidRPr="002331C2" w:rsidRDefault="00E35158" w:rsidP="00607867">
      <w:pPr>
        <w:pStyle w:val="Heading2"/>
        <w:spacing w:before="0" w:beforeAutospacing="0" w:after="0" w:afterAutospacing="0"/>
        <w:jc w:val="both"/>
        <w:rPr>
          <w:rFonts w:ascii="Sitka Heading" w:hAnsi="Sitka Heading"/>
          <w:sz w:val="28"/>
          <w:szCs w:val="28"/>
        </w:rPr>
      </w:pPr>
      <w:r w:rsidRPr="002331C2">
        <w:rPr>
          <w:rFonts w:ascii="Sitka Heading" w:hAnsi="Sitka Heading"/>
          <w:sz w:val="28"/>
          <w:szCs w:val="28"/>
        </w:rPr>
        <w:t>Conclusion</w:t>
      </w:r>
    </w:p>
    <w:p w14:paraId="1341970F"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historical development of Islam in West Java illustrates one of the most significant examples of peaceful religious transformation in Southeast Asia. Introduced primarily through maritime trade, commercial interaction, education, and community relationships, Islam gradually became integrated into Sundanese society without fundamentally erasing local cultural traditions. Rather than producing a relationship of conflict between religion and culture, this historical process generated a pattern of dialogue and accommodation through which Islamic teachings and Sundanese ethical values strengthened one another.</w:t>
      </w:r>
    </w:p>
    <w:p w14:paraId="564CC5AF"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 xml:space="preserve">The success of this integration cannot be explained solely by political change or demographic expansion. Equally important were the activities of merchants, religious scholars, educational institutions, local rulers, and ordinary communities that collectively shaped the social foundations of Islam in West Java. Ethical values shared by both Islamic teachings and Sundanese culture—including compassion, respect, mutual assistance, </w:t>
      </w:r>
      <w:r w:rsidRPr="002331C2">
        <w:rPr>
          <w:rFonts w:ascii="Sitka Heading" w:hAnsi="Sitka Heading"/>
        </w:rPr>
        <w:lastRenderedPageBreak/>
        <w:t>learning, and social responsibility—provided common ground upon which religious and cultural identities developed together.</w:t>
      </w:r>
    </w:p>
    <w:p w14:paraId="5A489CFE" w14:textId="77777777"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The contemporary experience of West Java continues to reflect this historical legacy. Islamic beliefs remain closely connected with family life, education, community institutions, and cultural traditions, while Sundanese identity continues to provide meaningful social expressions of religious values. This enduring interaction demonstrates that cultural diversity and religious commitment are not necessarily incompatible. On the contrary, the experience of Sundanese society suggests that local cultures may enrich the social expression of universal religious principles without diminishing either cultural authenticity or religious integrity.</w:t>
      </w:r>
    </w:p>
    <w:p w14:paraId="2EBBB4FC" w14:textId="2394382C" w:rsidR="00E35158" w:rsidRPr="002331C2" w:rsidRDefault="00E35158" w:rsidP="00607867">
      <w:pPr>
        <w:pStyle w:val="NormalWeb"/>
        <w:spacing w:before="0" w:beforeAutospacing="0" w:after="0" w:afterAutospacing="0"/>
        <w:ind w:firstLine="720"/>
        <w:jc w:val="both"/>
        <w:rPr>
          <w:rFonts w:ascii="Sitka Heading" w:hAnsi="Sitka Heading"/>
        </w:rPr>
      </w:pPr>
      <w:r w:rsidRPr="002331C2">
        <w:rPr>
          <w:rFonts w:ascii="Sitka Heading" w:hAnsi="Sitka Heading"/>
        </w:rPr>
        <w:t>For international students seeking to understand Indonesia, West Java offers an important case study in the relationship between religion, culture, and society. It illustrates that Islam is not a monolithic civilization but a global religious tradition expressed through diverse historical and cultural experiences. Appreciating this diversity is essential for understanding not only Indonesian Islam but also the broader dynamics of religious life in multicultural societies throughout the contemporary world.</w:t>
      </w:r>
      <w:r w:rsidR="00C54D7E" w:rsidRPr="002331C2">
        <w:rPr>
          <w:rFonts w:ascii="Sitka Heading" w:hAnsi="Sitka Heading"/>
        </w:rPr>
        <w:t>[]</w:t>
      </w:r>
    </w:p>
    <w:p w14:paraId="2BACC76F" w14:textId="77777777" w:rsidR="00C54D7E" w:rsidRPr="002331C2" w:rsidRDefault="00C54D7E" w:rsidP="00607867">
      <w:pPr>
        <w:spacing w:after="0"/>
        <w:jc w:val="both"/>
        <w:rPr>
          <w:rFonts w:ascii="Sitka Heading" w:eastAsia="Times New Roman" w:hAnsi="Sitka Heading" w:cs="Times New Roman"/>
          <w:b/>
          <w:bCs/>
          <w:sz w:val="36"/>
          <w:szCs w:val="36"/>
        </w:rPr>
      </w:pPr>
      <w:r w:rsidRPr="002331C2">
        <w:rPr>
          <w:rFonts w:ascii="Sitka Heading" w:hAnsi="Sitka Heading"/>
        </w:rPr>
        <w:br w:type="page"/>
      </w:r>
    </w:p>
    <w:p w14:paraId="721AF2EC" w14:textId="50822405" w:rsidR="00E35158" w:rsidRPr="002331C2" w:rsidRDefault="00E35158" w:rsidP="00607867">
      <w:pPr>
        <w:pStyle w:val="Heading2"/>
        <w:spacing w:before="0" w:beforeAutospacing="0" w:after="0" w:afterAutospacing="0"/>
        <w:jc w:val="center"/>
        <w:rPr>
          <w:rFonts w:ascii="Sitka Heading" w:hAnsi="Sitka Heading"/>
          <w:sz w:val="28"/>
          <w:szCs w:val="28"/>
        </w:rPr>
      </w:pPr>
      <w:r w:rsidRPr="002331C2">
        <w:rPr>
          <w:rFonts w:ascii="Sitka Heading" w:hAnsi="Sitka Heading"/>
          <w:sz w:val="28"/>
          <w:szCs w:val="28"/>
        </w:rPr>
        <w:lastRenderedPageBreak/>
        <w:t>Selected References</w:t>
      </w:r>
    </w:p>
    <w:p w14:paraId="68F35950" w14:textId="77777777" w:rsidR="00C54D7E" w:rsidRPr="002331C2" w:rsidRDefault="00C54D7E" w:rsidP="00607867">
      <w:pPr>
        <w:pStyle w:val="NormalWeb"/>
        <w:spacing w:before="0" w:beforeAutospacing="0" w:after="0" w:afterAutospacing="0"/>
        <w:jc w:val="both"/>
        <w:rPr>
          <w:rFonts w:ascii="Sitka Heading" w:hAnsi="Sitka Heading"/>
        </w:rPr>
      </w:pPr>
    </w:p>
    <w:p w14:paraId="48251396" w14:textId="77777777" w:rsidR="00607867" w:rsidRPr="002331C2" w:rsidRDefault="00607867" w:rsidP="00607867">
      <w:pPr>
        <w:pStyle w:val="NormalWeb"/>
        <w:spacing w:before="0" w:beforeAutospacing="0" w:after="0" w:afterAutospacing="0"/>
        <w:jc w:val="both"/>
        <w:rPr>
          <w:rFonts w:ascii="Sitka Heading" w:hAnsi="Sitka Heading"/>
        </w:rPr>
      </w:pPr>
    </w:p>
    <w:p w14:paraId="0EE63D9A" w14:textId="090962EF"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Abdullah, Taufik, ed. </w:t>
      </w:r>
      <w:r w:rsidRPr="002331C2">
        <w:rPr>
          <w:rStyle w:val="Emphasis"/>
          <w:rFonts w:ascii="Sitka Heading" w:hAnsi="Sitka Heading"/>
        </w:rPr>
        <w:t>Islam and Society in Southeast Asia</w:t>
      </w:r>
      <w:r w:rsidRPr="002331C2">
        <w:rPr>
          <w:rFonts w:ascii="Sitka Heading" w:hAnsi="Sitka Heading"/>
        </w:rPr>
        <w:t>. Jakarta: LP3ES.</w:t>
      </w:r>
    </w:p>
    <w:p w14:paraId="31D5E5C8"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Azra, Azyumardi. </w:t>
      </w:r>
      <w:r w:rsidRPr="002331C2">
        <w:rPr>
          <w:rStyle w:val="Emphasis"/>
          <w:rFonts w:ascii="Sitka Heading" w:hAnsi="Sitka Heading"/>
        </w:rPr>
        <w:t>The Origins of Islamic Reformism in Southeast Asia: Networks of Malay-Indonesian and Middle Eastern 'Ulama' in the Seventeenth and Eighteenth Centuries</w:t>
      </w:r>
      <w:r w:rsidRPr="002331C2">
        <w:rPr>
          <w:rFonts w:ascii="Sitka Heading" w:hAnsi="Sitka Heading"/>
        </w:rPr>
        <w:t>. Honolulu: University of Hawai'i Press, 2004.</w:t>
      </w:r>
    </w:p>
    <w:p w14:paraId="75DD0344"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Bruinessen, Martin van. </w:t>
      </w:r>
      <w:r w:rsidRPr="002331C2">
        <w:rPr>
          <w:rStyle w:val="Emphasis"/>
          <w:rFonts w:ascii="Sitka Heading" w:hAnsi="Sitka Heading"/>
        </w:rPr>
        <w:t>Kitab Kuning, Pesantren, dan Tarekat</w:t>
      </w:r>
      <w:r w:rsidRPr="002331C2">
        <w:rPr>
          <w:rFonts w:ascii="Sitka Heading" w:hAnsi="Sitka Heading"/>
        </w:rPr>
        <w:t>. Bandung: Mizan, 1995.</w:t>
      </w:r>
    </w:p>
    <w:p w14:paraId="3AD35132"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Ekadjati, Edi S. </w:t>
      </w:r>
      <w:r w:rsidRPr="002331C2">
        <w:rPr>
          <w:rStyle w:val="Emphasis"/>
          <w:rFonts w:ascii="Sitka Heading" w:hAnsi="Sitka Heading"/>
        </w:rPr>
        <w:t>Kebudayaan Sunda: Suatu Pendekatan Sejarah</w:t>
      </w:r>
      <w:r w:rsidRPr="002331C2">
        <w:rPr>
          <w:rFonts w:ascii="Sitka Heading" w:hAnsi="Sitka Heading"/>
        </w:rPr>
        <w:t>. Jakarta: Pustaka Jaya.</w:t>
      </w:r>
    </w:p>
    <w:p w14:paraId="57DED0FE"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Federspiel, Howard M. </w:t>
      </w:r>
      <w:r w:rsidRPr="002331C2">
        <w:rPr>
          <w:rStyle w:val="Emphasis"/>
          <w:rFonts w:ascii="Sitka Heading" w:hAnsi="Sitka Heading"/>
        </w:rPr>
        <w:t>Islam and Ideology in the Emerging Indonesian State</w:t>
      </w:r>
      <w:r w:rsidRPr="002331C2">
        <w:rPr>
          <w:rFonts w:ascii="Sitka Heading" w:hAnsi="Sitka Heading"/>
        </w:rPr>
        <w:t>. Leiden: Brill, 2001.</w:t>
      </w:r>
    </w:p>
    <w:p w14:paraId="1A047458"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Geertz, Clifford. </w:t>
      </w:r>
      <w:r w:rsidRPr="002331C2">
        <w:rPr>
          <w:rStyle w:val="Emphasis"/>
          <w:rFonts w:ascii="Sitka Heading" w:hAnsi="Sitka Heading"/>
        </w:rPr>
        <w:t>The Religion of Java</w:t>
      </w:r>
      <w:r w:rsidRPr="002331C2">
        <w:rPr>
          <w:rFonts w:ascii="Sitka Heading" w:hAnsi="Sitka Heading"/>
        </w:rPr>
        <w:t>. Chicago: The University of Chicago Press, 1960.</w:t>
      </w:r>
    </w:p>
    <w:p w14:paraId="37F0262A"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Hefner, Robert W. </w:t>
      </w:r>
      <w:r w:rsidRPr="002331C2">
        <w:rPr>
          <w:rStyle w:val="Emphasis"/>
          <w:rFonts w:ascii="Sitka Heading" w:hAnsi="Sitka Heading"/>
        </w:rPr>
        <w:t>Civil Islam: Muslims and Democratization in Indonesia</w:t>
      </w:r>
      <w:r w:rsidRPr="002331C2">
        <w:rPr>
          <w:rFonts w:ascii="Sitka Heading" w:hAnsi="Sitka Heading"/>
        </w:rPr>
        <w:t>. Princeton: Princeton University Press, 2000.</w:t>
      </w:r>
    </w:p>
    <w:p w14:paraId="12F4FD11"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Lombard, Denys. </w:t>
      </w:r>
      <w:r w:rsidRPr="002331C2">
        <w:rPr>
          <w:rStyle w:val="Emphasis"/>
          <w:rFonts w:ascii="Sitka Heading" w:hAnsi="Sitka Heading"/>
        </w:rPr>
        <w:t>Nusa Jawa: Silang Budaya</w:t>
      </w:r>
      <w:r w:rsidRPr="002331C2">
        <w:rPr>
          <w:rFonts w:ascii="Sitka Heading" w:hAnsi="Sitka Heading"/>
        </w:rPr>
        <w:t>. Jakarta: Gramedia Pustaka Utama.</w:t>
      </w:r>
    </w:p>
    <w:p w14:paraId="5B9D268D"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Lubis, Nina H. </w:t>
      </w:r>
      <w:r w:rsidRPr="002331C2">
        <w:rPr>
          <w:rStyle w:val="Emphasis"/>
          <w:rFonts w:ascii="Sitka Heading" w:hAnsi="Sitka Heading"/>
        </w:rPr>
        <w:t>Sejarah Tatar Sunda</w:t>
      </w:r>
      <w:r w:rsidRPr="002331C2">
        <w:rPr>
          <w:rFonts w:ascii="Sitka Heading" w:hAnsi="Sitka Heading"/>
        </w:rPr>
        <w:t>. Bandung: Satya Historika.</w:t>
      </w:r>
    </w:p>
    <w:p w14:paraId="36DCE3F6"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Ricklefs, M. C. </w:t>
      </w:r>
      <w:r w:rsidRPr="002331C2">
        <w:rPr>
          <w:rStyle w:val="Emphasis"/>
          <w:rFonts w:ascii="Sitka Heading" w:hAnsi="Sitka Heading"/>
        </w:rPr>
        <w:t>A History of Modern Indonesia since c.1200</w:t>
      </w:r>
      <w:r w:rsidRPr="002331C2">
        <w:rPr>
          <w:rFonts w:ascii="Sitka Heading" w:hAnsi="Sitka Heading"/>
        </w:rPr>
        <w:t>. 4th ed. Stanford: Stanford University Press, 2008.</w:t>
      </w:r>
    </w:p>
    <w:p w14:paraId="53222E0E" w14:textId="77777777"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Reid, Anthony. </w:t>
      </w:r>
      <w:r w:rsidRPr="002331C2">
        <w:rPr>
          <w:rStyle w:val="Emphasis"/>
          <w:rFonts w:ascii="Sitka Heading" w:hAnsi="Sitka Heading"/>
        </w:rPr>
        <w:t>Southeast Asia in the Age of Commerce, 1450–1680</w:t>
      </w:r>
      <w:r w:rsidRPr="002331C2">
        <w:rPr>
          <w:rFonts w:ascii="Sitka Heading" w:hAnsi="Sitka Heading"/>
        </w:rPr>
        <w:t>. 2 vols. New Haven: Yale University Press, 1988–1993.</w:t>
      </w:r>
    </w:p>
    <w:p w14:paraId="614DB92F" w14:textId="292699AB" w:rsidR="00E35158" w:rsidRPr="002331C2" w:rsidRDefault="00E35158"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 xml:space="preserve">Burhanudin, Jajat, and Kees van Dijk, eds. </w:t>
      </w:r>
      <w:r w:rsidRPr="002331C2">
        <w:rPr>
          <w:rStyle w:val="Emphasis"/>
          <w:rFonts w:ascii="Sitka Heading" w:hAnsi="Sitka Heading"/>
        </w:rPr>
        <w:t>Islam in Indonesia: Contrasting Images and Interpretations</w:t>
      </w:r>
      <w:r w:rsidRPr="002331C2">
        <w:rPr>
          <w:rFonts w:ascii="Sitka Heading" w:hAnsi="Sitka Heading"/>
        </w:rPr>
        <w:t>. Amsterdam: Amsterdam University Press, 2013.</w:t>
      </w:r>
    </w:p>
    <w:p w14:paraId="48E1F350" w14:textId="56548696" w:rsidR="00607867" w:rsidRPr="002331C2" w:rsidRDefault="00607867" w:rsidP="00607867">
      <w:pPr>
        <w:pStyle w:val="NormalWeb"/>
        <w:spacing w:before="0" w:beforeAutospacing="0" w:after="0" w:afterAutospacing="0"/>
        <w:ind w:left="567" w:hanging="567"/>
        <w:jc w:val="both"/>
        <w:rPr>
          <w:rFonts w:ascii="Sitka Heading" w:hAnsi="Sitka Heading"/>
        </w:rPr>
      </w:pPr>
      <w:r w:rsidRPr="002331C2">
        <w:rPr>
          <w:rFonts w:ascii="Sitka Heading" w:hAnsi="Sitka Heading"/>
        </w:rPr>
        <w:t>Selected Journals:</w:t>
      </w:r>
    </w:p>
    <w:p w14:paraId="3507EA3B" w14:textId="77777777" w:rsidR="00E35158" w:rsidRPr="002331C2" w:rsidRDefault="00E35158" w:rsidP="00607867">
      <w:pPr>
        <w:pStyle w:val="NormalWeb"/>
        <w:numPr>
          <w:ilvl w:val="0"/>
          <w:numId w:val="2"/>
        </w:numPr>
        <w:spacing w:before="0" w:beforeAutospacing="0" w:after="0" w:afterAutospacing="0"/>
        <w:jc w:val="both"/>
        <w:rPr>
          <w:rFonts w:ascii="Sitka Heading" w:hAnsi="Sitka Heading"/>
        </w:rPr>
      </w:pPr>
      <w:r w:rsidRPr="002331C2">
        <w:rPr>
          <w:rStyle w:val="Emphasis"/>
          <w:rFonts w:ascii="Sitka Heading" w:hAnsi="Sitka Heading"/>
        </w:rPr>
        <w:t>Studia Islamika</w:t>
      </w:r>
    </w:p>
    <w:p w14:paraId="0BB1AC62" w14:textId="77777777" w:rsidR="00E35158" w:rsidRPr="002331C2" w:rsidRDefault="00E35158" w:rsidP="00607867">
      <w:pPr>
        <w:pStyle w:val="NormalWeb"/>
        <w:numPr>
          <w:ilvl w:val="0"/>
          <w:numId w:val="2"/>
        </w:numPr>
        <w:spacing w:before="0" w:beforeAutospacing="0" w:after="0" w:afterAutospacing="0"/>
        <w:jc w:val="both"/>
        <w:rPr>
          <w:rFonts w:ascii="Sitka Heading" w:hAnsi="Sitka Heading"/>
        </w:rPr>
      </w:pPr>
      <w:r w:rsidRPr="002331C2">
        <w:rPr>
          <w:rStyle w:val="Emphasis"/>
          <w:rFonts w:ascii="Sitka Heading" w:hAnsi="Sitka Heading"/>
        </w:rPr>
        <w:t>Indonesia and the Malay World</w:t>
      </w:r>
    </w:p>
    <w:p w14:paraId="3A2EE200" w14:textId="77777777" w:rsidR="00E35158" w:rsidRPr="002331C2" w:rsidRDefault="00E35158" w:rsidP="00607867">
      <w:pPr>
        <w:pStyle w:val="NormalWeb"/>
        <w:numPr>
          <w:ilvl w:val="0"/>
          <w:numId w:val="2"/>
        </w:numPr>
        <w:spacing w:before="0" w:beforeAutospacing="0" w:after="0" w:afterAutospacing="0"/>
        <w:jc w:val="both"/>
        <w:rPr>
          <w:rFonts w:ascii="Sitka Heading" w:hAnsi="Sitka Heading"/>
        </w:rPr>
      </w:pPr>
      <w:r w:rsidRPr="002331C2">
        <w:rPr>
          <w:rStyle w:val="Emphasis"/>
          <w:rFonts w:ascii="Sitka Heading" w:hAnsi="Sitka Heading"/>
        </w:rPr>
        <w:t>Journal of Southeast Asian Studies</w:t>
      </w:r>
    </w:p>
    <w:p w14:paraId="33A0EEE5" w14:textId="77777777" w:rsidR="00E35158" w:rsidRPr="002331C2" w:rsidRDefault="00E35158" w:rsidP="00607867">
      <w:pPr>
        <w:pStyle w:val="NormalWeb"/>
        <w:numPr>
          <w:ilvl w:val="0"/>
          <w:numId w:val="2"/>
        </w:numPr>
        <w:spacing w:before="0" w:beforeAutospacing="0" w:after="0" w:afterAutospacing="0"/>
        <w:jc w:val="both"/>
        <w:rPr>
          <w:rFonts w:ascii="Sitka Heading" w:hAnsi="Sitka Heading"/>
        </w:rPr>
      </w:pPr>
      <w:r w:rsidRPr="002331C2">
        <w:rPr>
          <w:rStyle w:val="Emphasis"/>
          <w:rFonts w:ascii="Sitka Heading" w:hAnsi="Sitka Heading"/>
        </w:rPr>
        <w:t>Bijdragen tot de Taal-, Land- en Volkenkunde (BKI)</w:t>
      </w:r>
    </w:p>
    <w:p w14:paraId="3FF99950" w14:textId="77777777" w:rsidR="00E35158" w:rsidRPr="002331C2" w:rsidRDefault="00E35158" w:rsidP="00607867">
      <w:pPr>
        <w:pStyle w:val="NormalWeb"/>
        <w:numPr>
          <w:ilvl w:val="0"/>
          <w:numId w:val="2"/>
        </w:numPr>
        <w:spacing w:before="0" w:beforeAutospacing="0" w:after="0" w:afterAutospacing="0"/>
        <w:jc w:val="both"/>
        <w:rPr>
          <w:rFonts w:ascii="Sitka Heading" w:hAnsi="Sitka Heading"/>
        </w:rPr>
      </w:pPr>
      <w:r w:rsidRPr="002331C2">
        <w:rPr>
          <w:rStyle w:val="Emphasis"/>
          <w:rFonts w:ascii="Sitka Heading" w:hAnsi="Sitka Heading"/>
        </w:rPr>
        <w:t>Indonesia</w:t>
      </w:r>
      <w:r w:rsidRPr="002331C2">
        <w:rPr>
          <w:rFonts w:ascii="Sitka Heading" w:hAnsi="Sitka Heading"/>
        </w:rPr>
        <w:t xml:space="preserve"> (Cornell Modern Indonesia Project)</w:t>
      </w:r>
    </w:p>
    <w:p w14:paraId="4E8A7D44" w14:textId="77777777" w:rsidR="00234B3D" w:rsidRPr="002331C2" w:rsidRDefault="00234B3D" w:rsidP="00607867">
      <w:pPr>
        <w:spacing w:after="0"/>
        <w:jc w:val="both"/>
        <w:rPr>
          <w:rFonts w:ascii="Sitka Heading" w:hAnsi="Sitka Heading"/>
        </w:rPr>
      </w:pPr>
    </w:p>
    <w:sectPr w:rsidR="00234B3D" w:rsidRPr="002331C2" w:rsidSect="00607867">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82B74" w14:textId="77777777" w:rsidR="005467CC" w:rsidRDefault="005467CC" w:rsidP="00C54D7E">
      <w:pPr>
        <w:spacing w:after="0" w:line="240" w:lineRule="auto"/>
      </w:pPr>
      <w:r>
        <w:separator/>
      </w:r>
    </w:p>
  </w:endnote>
  <w:endnote w:type="continuationSeparator" w:id="0">
    <w:p w14:paraId="42EE9869" w14:textId="77777777" w:rsidR="005467CC" w:rsidRDefault="005467CC" w:rsidP="00C5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tka Heading">
    <w:panose1 w:val="02000505000000020004"/>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021EB" w14:textId="77777777" w:rsidR="005467CC" w:rsidRDefault="005467CC" w:rsidP="00C54D7E">
      <w:pPr>
        <w:spacing w:after="0" w:line="240" w:lineRule="auto"/>
      </w:pPr>
      <w:r>
        <w:separator/>
      </w:r>
    </w:p>
  </w:footnote>
  <w:footnote w:type="continuationSeparator" w:id="0">
    <w:p w14:paraId="1F0FF0DD" w14:textId="77777777" w:rsidR="005467CC" w:rsidRDefault="005467CC" w:rsidP="00C54D7E">
      <w:pPr>
        <w:spacing w:after="0" w:line="240" w:lineRule="auto"/>
      </w:pPr>
      <w:r>
        <w:continuationSeparator/>
      </w:r>
    </w:p>
  </w:footnote>
  <w:footnote w:id="1">
    <w:p w14:paraId="41A5A3AB" w14:textId="74BFE5D3" w:rsidR="00C54D7E" w:rsidRPr="002331C2" w:rsidRDefault="002331C2" w:rsidP="00607867">
      <w:pPr>
        <w:spacing w:before="100" w:beforeAutospacing="1" w:after="100" w:afterAutospacing="1" w:line="240" w:lineRule="auto"/>
        <w:jc w:val="both"/>
        <w:rPr>
          <w:rFonts w:ascii="Sitka Heading" w:eastAsia="Times New Roman" w:hAnsi="Sitka Heading" w:cs="Times New Roman"/>
          <w:sz w:val="24"/>
          <w:szCs w:val="24"/>
        </w:rPr>
      </w:pPr>
      <w:r>
        <w:rPr>
          <w:rFonts w:ascii="Sitka Heading" w:hAnsi="Sitka Heading"/>
        </w:rPr>
        <w:t>*</w:t>
      </w:r>
      <w:r w:rsidR="00C54D7E" w:rsidRPr="002331C2">
        <w:rPr>
          <w:rFonts w:ascii="Sitka Heading" w:hAnsi="Sitka Heading"/>
        </w:rPr>
        <w:t xml:space="preserve"> </w:t>
      </w:r>
      <w:r w:rsidR="00C54D7E" w:rsidRPr="002331C2">
        <w:rPr>
          <w:rFonts w:ascii="Sitka Heading" w:eastAsia="Times New Roman" w:hAnsi="Sitka Heading" w:cs="Times New Roman"/>
          <w:sz w:val="24"/>
          <w:szCs w:val="24"/>
        </w:rPr>
        <w:t>Prepared for International Students, SEASREP, UIN Sunan Gunung Djati, Bandung July 23, 2026</w:t>
      </w:r>
    </w:p>
    <w:p w14:paraId="6986C36A" w14:textId="0A84BBAE" w:rsidR="00C54D7E" w:rsidRDefault="00C54D7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010E8"/>
    <w:multiLevelType w:val="multilevel"/>
    <w:tmpl w:val="C0F86202"/>
    <w:lvl w:ilvl="0">
      <w:start w:val="1"/>
      <w:numFmt w:val="upperRoman"/>
      <w:pStyle w:val="Heading1"/>
      <w:suff w:val="nothing"/>
      <w:lvlText w:val="BAB %1"/>
      <w:lvlJc w:val="left"/>
      <w:pPr>
        <w:ind w:left="36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C7661DA"/>
    <w:multiLevelType w:val="multilevel"/>
    <w:tmpl w:val="4A9C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58"/>
    <w:rsid w:val="002331C2"/>
    <w:rsid w:val="00234B3D"/>
    <w:rsid w:val="00463049"/>
    <w:rsid w:val="005467CC"/>
    <w:rsid w:val="00607867"/>
    <w:rsid w:val="00C03719"/>
    <w:rsid w:val="00C51E1B"/>
    <w:rsid w:val="00C54D7E"/>
    <w:rsid w:val="00E351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767C"/>
  <w15:chartTrackingRefBased/>
  <w15:docId w15:val="{0C8EAEC2-77C8-4186-AC51-026BE1F2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E1B"/>
    <w:pPr>
      <w:keepNext/>
      <w:keepLines/>
      <w:numPr>
        <w:numId w:val="1"/>
      </w:numPr>
      <w:spacing w:before="240" w:after="0"/>
      <w:outlineLvl w:val="0"/>
    </w:pPr>
    <w:rPr>
      <w:rFonts w:asciiTheme="majorBidi" w:eastAsiaTheme="majorEastAsia" w:hAnsiTheme="majorBidi" w:cstheme="majorBidi"/>
      <w:b/>
      <w:sz w:val="24"/>
      <w:szCs w:val="32"/>
    </w:rPr>
  </w:style>
  <w:style w:type="paragraph" w:styleId="Heading2">
    <w:name w:val="heading 2"/>
    <w:basedOn w:val="Normal"/>
    <w:link w:val="Heading2Char"/>
    <w:uiPriority w:val="9"/>
    <w:qFormat/>
    <w:rsid w:val="00E351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351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E1B"/>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E3515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351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5158"/>
    <w:rPr>
      <w:b/>
      <w:bCs/>
    </w:rPr>
  </w:style>
  <w:style w:type="character" w:styleId="Emphasis">
    <w:name w:val="Emphasis"/>
    <w:basedOn w:val="DefaultParagraphFont"/>
    <w:uiPriority w:val="20"/>
    <w:qFormat/>
    <w:rsid w:val="00E35158"/>
    <w:rPr>
      <w:i/>
      <w:iCs/>
    </w:rPr>
  </w:style>
  <w:style w:type="character" w:customStyle="1" w:styleId="Heading3Char">
    <w:name w:val="Heading 3 Char"/>
    <w:basedOn w:val="DefaultParagraphFont"/>
    <w:link w:val="Heading3"/>
    <w:uiPriority w:val="9"/>
    <w:semiHidden/>
    <w:rsid w:val="00E35158"/>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C54D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D7E"/>
    <w:rPr>
      <w:sz w:val="20"/>
      <w:szCs w:val="20"/>
    </w:rPr>
  </w:style>
  <w:style w:type="character" w:styleId="FootnoteReference">
    <w:name w:val="footnote reference"/>
    <w:basedOn w:val="DefaultParagraphFont"/>
    <w:uiPriority w:val="99"/>
    <w:semiHidden/>
    <w:unhideWhenUsed/>
    <w:rsid w:val="00C54D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7533">
      <w:bodyDiv w:val="1"/>
      <w:marLeft w:val="0"/>
      <w:marRight w:val="0"/>
      <w:marTop w:val="0"/>
      <w:marBottom w:val="0"/>
      <w:divBdr>
        <w:top w:val="none" w:sz="0" w:space="0" w:color="auto"/>
        <w:left w:val="none" w:sz="0" w:space="0" w:color="auto"/>
        <w:bottom w:val="none" w:sz="0" w:space="0" w:color="auto"/>
        <w:right w:val="none" w:sz="0" w:space="0" w:color="auto"/>
      </w:divBdr>
    </w:div>
    <w:div w:id="1091584273">
      <w:bodyDiv w:val="1"/>
      <w:marLeft w:val="0"/>
      <w:marRight w:val="0"/>
      <w:marTop w:val="0"/>
      <w:marBottom w:val="0"/>
      <w:divBdr>
        <w:top w:val="none" w:sz="0" w:space="0" w:color="auto"/>
        <w:left w:val="none" w:sz="0" w:space="0" w:color="auto"/>
        <w:bottom w:val="none" w:sz="0" w:space="0" w:color="auto"/>
        <w:right w:val="none" w:sz="0" w:space="0" w:color="auto"/>
      </w:divBdr>
    </w:div>
    <w:div w:id="1184826589">
      <w:bodyDiv w:val="1"/>
      <w:marLeft w:val="0"/>
      <w:marRight w:val="0"/>
      <w:marTop w:val="0"/>
      <w:marBottom w:val="0"/>
      <w:divBdr>
        <w:top w:val="none" w:sz="0" w:space="0" w:color="auto"/>
        <w:left w:val="none" w:sz="0" w:space="0" w:color="auto"/>
        <w:bottom w:val="none" w:sz="0" w:space="0" w:color="auto"/>
        <w:right w:val="none" w:sz="0" w:space="0" w:color="auto"/>
      </w:divBdr>
    </w:div>
    <w:div w:id="177735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E5358-BA46-47BE-84B9-DE664BBF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5540</Words>
  <Characters>31584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Mugia Micinta</dc:creator>
  <cp:keywords/>
  <dc:description/>
  <cp:lastModifiedBy>Mugia Micinta</cp:lastModifiedBy>
  <cp:revision>3</cp:revision>
  <dcterms:created xsi:type="dcterms:W3CDTF">2026-07-20T14:52:00Z</dcterms:created>
  <dcterms:modified xsi:type="dcterms:W3CDTF">2026-07-21T12:53:00Z</dcterms:modified>
</cp:coreProperties>
</file>